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Default="009B708B" w:rsidP="0055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9B708B" w:rsidTr="009D2787">
        <w:tc>
          <w:tcPr>
            <w:tcW w:w="9639" w:type="dxa"/>
          </w:tcPr>
          <w:p w:rsidR="006A144F" w:rsidRDefault="009A1605" w:rsidP="00715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анализа предложений  № </w:t>
            </w:r>
            <w:r w:rsidR="00715C3F">
              <w:rPr>
                <w:rFonts w:ascii="Times New Roman" w:hAnsi="Times New Roman" w:cs="Times New Roman"/>
                <w:sz w:val="24"/>
                <w:szCs w:val="24"/>
              </w:rPr>
              <w:t>325514408881</w:t>
            </w:r>
          </w:p>
        </w:tc>
      </w:tr>
    </w:tbl>
    <w:p w:rsidR="009B708B" w:rsidRDefault="009B708B" w:rsidP="0013311C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5C6A5E" w:rsidRDefault="005C6A5E" w:rsidP="00F21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Default="009B708B" w:rsidP="008D3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41BCB">
        <w:rPr>
          <w:rFonts w:ascii="Times New Roman" w:hAnsi="Times New Roman" w:cs="Times New Roman"/>
          <w:sz w:val="24"/>
          <w:szCs w:val="24"/>
        </w:rPr>
        <w:t xml:space="preserve">   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41BCB">
        <w:rPr>
          <w:rFonts w:ascii="Times New Roman" w:hAnsi="Times New Roman" w:cs="Times New Roman"/>
          <w:sz w:val="24"/>
          <w:szCs w:val="24"/>
        </w:rPr>
        <w:t>2</w:t>
      </w:r>
      <w:r w:rsidR="00185C02">
        <w:rPr>
          <w:rFonts w:ascii="Times New Roman" w:hAnsi="Times New Roman" w:cs="Times New Roman"/>
          <w:sz w:val="24"/>
          <w:szCs w:val="24"/>
        </w:rPr>
        <w:t>8</w:t>
      </w:r>
      <w:r w:rsidR="008D3C56">
        <w:rPr>
          <w:rFonts w:ascii="Times New Roman" w:hAnsi="Times New Roman" w:cs="Times New Roman"/>
          <w:sz w:val="24"/>
          <w:szCs w:val="24"/>
        </w:rPr>
        <w:t>.</w:t>
      </w:r>
      <w:r w:rsidR="006D64D6">
        <w:rPr>
          <w:rFonts w:ascii="Times New Roman" w:hAnsi="Times New Roman" w:cs="Times New Roman"/>
          <w:sz w:val="24"/>
          <w:szCs w:val="24"/>
        </w:rPr>
        <w:t>01</w:t>
      </w:r>
      <w:r w:rsidR="008D3C56">
        <w:rPr>
          <w:rFonts w:ascii="Times New Roman" w:hAnsi="Times New Roman" w:cs="Times New Roman"/>
          <w:sz w:val="24"/>
          <w:szCs w:val="24"/>
        </w:rPr>
        <w:t>.20</w:t>
      </w:r>
      <w:r w:rsidR="006D64D6">
        <w:rPr>
          <w:rFonts w:ascii="Times New Roman" w:hAnsi="Times New Roman" w:cs="Times New Roman"/>
          <w:sz w:val="24"/>
          <w:szCs w:val="24"/>
        </w:rPr>
        <w:t>2</w:t>
      </w:r>
      <w:r w:rsidR="00715C3F">
        <w:rPr>
          <w:rFonts w:ascii="Times New Roman" w:hAnsi="Times New Roman" w:cs="Times New Roman"/>
          <w:sz w:val="24"/>
          <w:szCs w:val="24"/>
        </w:rPr>
        <w:t>5</w:t>
      </w:r>
    </w:p>
    <w:p w:rsidR="005C6A5E" w:rsidRPr="00F217BE" w:rsidRDefault="005C6A5E" w:rsidP="008D3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65969" w:rsidRDefault="00F65969" w:rsidP="000609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F65969" w:rsidRPr="00871E56" w:rsidRDefault="00F65969" w:rsidP="000609E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7C21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>казание услуг по обеспечению единства измерений (поверк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>средств измерений)</w:t>
      </w:r>
      <w:r w:rsidR="00871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C2E" w:rsidRDefault="005B3C2E" w:rsidP="000609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F65969" w:rsidP="000609E1">
      <w:pPr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7C3" w:rsidRDefault="0012612A" w:rsidP="000609E1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r w:rsidR="00C21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(максимальная)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C21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4ED1" w:rsidRPr="007D2AF5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B34ED1" w:rsidRPr="009953BA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715C3F">
        <w:rPr>
          <w:rFonts w:ascii="Times New Roman" w:eastAsia="Times New Roman" w:hAnsi="Times New Roman" w:cs="Times New Roman"/>
          <w:sz w:val="24"/>
          <w:szCs w:val="24"/>
        </w:rPr>
        <w:t>3 174 430,80</w:t>
      </w:r>
      <w:r w:rsidR="009953BA" w:rsidRPr="00995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 w:rsidRPr="009953BA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5357E">
        <w:rPr>
          <w:rFonts w:ascii="Times New Roman" w:eastAsia="Times New Roman" w:hAnsi="Times New Roman" w:cs="Times New Roman"/>
          <w:sz w:val="24"/>
          <w:szCs w:val="24"/>
        </w:rPr>
        <w:t>, включая НДС.</w:t>
      </w:r>
    </w:p>
    <w:p w:rsidR="002F5A29" w:rsidRPr="00823307" w:rsidRDefault="002F5A29" w:rsidP="000609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20A1" w:rsidRPr="000F20A1" w:rsidRDefault="00524C94" w:rsidP="000609E1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404A">
        <w:rPr>
          <w:rFonts w:ascii="Times New Roman" w:hAnsi="Times New Roman" w:cs="Times New Roman"/>
          <w:sz w:val="24"/>
          <w:szCs w:val="24"/>
        </w:rPr>
        <w:t xml:space="preserve"> </w:t>
      </w:r>
      <w:r w:rsidR="000F20A1" w:rsidRPr="000F20A1">
        <w:rPr>
          <w:rFonts w:ascii="Times New Roman" w:hAnsi="Times New Roman" w:cs="Times New Roman"/>
          <w:sz w:val="24"/>
          <w:szCs w:val="24"/>
        </w:rPr>
        <w:t>Рассмотрение предложений Участников и подведение итогов анализа предложений</w:t>
      </w:r>
      <w:r w:rsidR="000F20A1" w:rsidRPr="000F20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207B5" w:rsidRDefault="007207B5" w:rsidP="000609E1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проводится в 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 при участии:</w:t>
      </w:r>
    </w:p>
    <w:p w:rsidR="007207B5" w:rsidRDefault="007207B5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C6A5E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- </w:t>
      </w:r>
      <w:r w:rsidRPr="005C6A5E">
        <w:rPr>
          <w:rFonts w:ascii="Times New Roman" w:hAnsi="Times New Roman" w:cs="Times New Roman"/>
          <w:sz w:val="24"/>
          <w:szCs w:val="24"/>
        </w:rPr>
        <w:t>Главный инженер Г</w:t>
      </w:r>
      <w:r w:rsidR="006D64D6">
        <w:rPr>
          <w:rFonts w:ascii="Times New Roman" w:hAnsi="Times New Roman" w:cs="Times New Roman"/>
          <w:sz w:val="24"/>
          <w:szCs w:val="24"/>
        </w:rPr>
        <w:t>ерасименко О.Н.</w:t>
      </w:r>
    </w:p>
    <w:p w:rsidR="007207B5" w:rsidRPr="00C833B3" w:rsidRDefault="007207B5" w:rsidP="0006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D3C56" w:rsidRDefault="008D3C56" w:rsidP="0006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715C3F">
        <w:rPr>
          <w:rFonts w:ascii="Times New Roman" w:hAnsi="Times New Roman" w:cs="Times New Roman"/>
          <w:sz w:val="24"/>
          <w:szCs w:val="24"/>
        </w:rPr>
        <w:t>Кошелев А.Е.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3C56" w:rsidRDefault="008D3C56" w:rsidP="0006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6D64D6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404A" w:rsidRDefault="00715C3F" w:rsidP="0006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20404A"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 w:rsidR="0020404A">
        <w:rPr>
          <w:rFonts w:ascii="Times New Roman" w:hAnsi="Times New Roman" w:cs="Times New Roman"/>
          <w:sz w:val="24"/>
          <w:szCs w:val="24"/>
        </w:rPr>
        <w:t>.;</w:t>
      </w:r>
    </w:p>
    <w:p w:rsidR="008D3C56" w:rsidRDefault="008D3C56" w:rsidP="0006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</w:t>
      </w:r>
      <w:r w:rsidR="0020404A">
        <w:rPr>
          <w:rFonts w:ascii="Times New Roman" w:hAnsi="Times New Roman" w:cs="Times New Roman"/>
          <w:b/>
          <w:sz w:val="24"/>
          <w:szCs w:val="24"/>
        </w:rPr>
        <w:t>.</w:t>
      </w:r>
    </w:p>
    <w:p w:rsidR="007207B5" w:rsidRPr="00C833B3" w:rsidRDefault="007207B5" w:rsidP="000609E1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7207B5" w:rsidRDefault="008D3C56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15C3F">
        <w:rPr>
          <w:rFonts w:ascii="Times New Roman" w:hAnsi="Times New Roman" w:cs="Times New Roman"/>
          <w:sz w:val="24"/>
          <w:szCs w:val="24"/>
        </w:rPr>
        <w:t>Договорного отдела</w:t>
      </w:r>
      <w:r w:rsidRPr="00C6735B">
        <w:rPr>
          <w:rFonts w:ascii="Times New Roman" w:hAnsi="Times New Roman" w:cs="Times New Roman"/>
          <w:sz w:val="24"/>
          <w:szCs w:val="24"/>
        </w:rPr>
        <w:t xml:space="preserve"> Сальманова М.В</w:t>
      </w:r>
      <w:r w:rsidR="006D64D6">
        <w:rPr>
          <w:rFonts w:ascii="Times New Roman" w:hAnsi="Times New Roman" w:cs="Times New Roman"/>
          <w:sz w:val="24"/>
          <w:szCs w:val="24"/>
        </w:rPr>
        <w:t>.</w:t>
      </w:r>
    </w:p>
    <w:p w:rsidR="007207B5" w:rsidRPr="002F7E2D" w:rsidRDefault="007207B5" w:rsidP="0006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8D3C56">
        <w:rPr>
          <w:rFonts w:ascii="Times New Roman" w:hAnsi="Times New Roman" w:cs="Times New Roman"/>
          <w:b/>
          <w:sz w:val="24"/>
          <w:szCs w:val="24"/>
        </w:rPr>
        <w:t>й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7207B5" w:rsidRDefault="007C216A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Олейник Л.И.</w:t>
      </w:r>
    </w:p>
    <w:p w:rsidR="007207B5" w:rsidRDefault="007207B5" w:rsidP="000609E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0404A">
        <w:rPr>
          <w:rFonts w:ascii="Times New Roman" w:eastAsia="Times New Roman" w:hAnsi="Times New Roman" w:cs="Times New Roman"/>
          <w:sz w:val="24"/>
          <w:szCs w:val="24"/>
        </w:rPr>
        <w:t>09.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53C8">
        <w:rPr>
          <w:rFonts w:ascii="Times New Roman" w:eastAsia="Times New Roman" w:hAnsi="Times New Roman" w:cs="Times New Roman"/>
          <w:sz w:val="24"/>
          <w:szCs w:val="24"/>
        </w:rPr>
        <w:t>5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сайте ООО «Иркутскэнергосбыт» 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026B1" w:rsidRDefault="007207B5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предложений, </w:t>
      </w:r>
      <w:bookmarkStart w:id="0" w:name="timeEnd"/>
      <w:bookmarkStart w:id="1" w:name="dateEnd"/>
      <w:bookmarkEnd w:id="0"/>
      <w:bookmarkEnd w:id="1"/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33F00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(21.01.2025 в 10</w:t>
      </w:r>
      <w:r w:rsidR="00133F00"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33F00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 xml:space="preserve"> –было продлено на 26 мин., 5 сек.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, зарегистрировано 2 (Две) заявки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1BCB" w:rsidRDefault="00A026B1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ступ для Заказчика к предложениям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133F00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  <w:r w:rsidR="00F21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3F00" w:rsidRDefault="00441BCB" w:rsidP="00133F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133F00" w:rsidRPr="00A14DDC">
        <w:rPr>
          <w:rFonts w:ascii="Times New Roman" w:eastAsia="Times New Roman" w:hAnsi="Times New Roman" w:cs="Times New Roman"/>
          <w:sz w:val="24"/>
          <w:szCs w:val="24"/>
        </w:rPr>
        <w:t>Информация об Участниках закупки отражена в таблице: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133F00" w:rsidRPr="00151866" w:rsidTr="001263F8">
        <w:tc>
          <w:tcPr>
            <w:tcW w:w="1502" w:type="dxa"/>
            <w:shd w:val="clear" w:color="auto" w:fill="D9D9D9" w:themeFill="background1" w:themeFillShade="D9"/>
          </w:tcPr>
          <w:p w:rsidR="00133F00" w:rsidRPr="00151866" w:rsidRDefault="00133F00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133F00" w:rsidRPr="00151866" w:rsidRDefault="00133F00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133F00" w:rsidRPr="00151866" w:rsidRDefault="00133F00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133F00" w:rsidRPr="00151866" w:rsidTr="001263F8">
        <w:tc>
          <w:tcPr>
            <w:tcW w:w="1502" w:type="dxa"/>
            <w:vAlign w:val="center"/>
          </w:tcPr>
          <w:p w:rsidR="00133F00" w:rsidRPr="00151866" w:rsidRDefault="00133F00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:rsidR="00133F00" w:rsidRDefault="00133F00" w:rsidP="00133F0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21.01.2025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08" w:type="dxa"/>
          </w:tcPr>
          <w:p w:rsidR="00133F00" w:rsidRDefault="00133F00" w:rsidP="001263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  <w:p w:rsidR="00133F00" w:rsidRPr="00697EF8" w:rsidRDefault="00133F00" w:rsidP="001263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133F00">
              <w:rPr>
                <w:rFonts w:ascii="Times New Roman" w:eastAsia="Times New Roman" w:hAnsi="Times New Roman" w:cs="Times New Roman"/>
                <w:sz w:val="24"/>
                <w:szCs w:val="24"/>
              </w:rPr>
              <w:t>3808001762</w:t>
            </w:r>
          </w:p>
        </w:tc>
      </w:tr>
      <w:tr w:rsidR="00133F00" w:rsidRPr="00151866" w:rsidTr="001263F8">
        <w:tc>
          <w:tcPr>
            <w:tcW w:w="1502" w:type="dxa"/>
            <w:vAlign w:val="center"/>
          </w:tcPr>
          <w:p w:rsidR="00133F00" w:rsidRPr="00151866" w:rsidRDefault="00133F00" w:rsidP="001263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:rsidR="00133F00" w:rsidRPr="00151866" w:rsidRDefault="00E80895" w:rsidP="00E8089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33F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133F00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3F00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133F00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08" w:type="dxa"/>
          </w:tcPr>
          <w:p w:rsidR="00133F00" w:rsidRPr="00697EF8" w:rsidRDefault="00133F00" w:rsidP="001263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E80895">
              <w:rPr>
                <w:rFonts w:ascii="Times New Roman" w:eastAsia="Times New Roman" w:hAnsi="Times New Roman" w:cs="Times New Roman"/>
                <w:sz w:val="24"/>
                <w:szCs w:val="24"/>
              </w:rPr>
              <w:t>ЦМ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33F00" w:rsidRPr="00151866" w:rsidRDefault="00133F00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>5507244148</w:t>
            </w:r>
          </w:p>
        </w:tc>
      </w:tr>
    </w:tbl>
    <w:p w:rsidR="00133F00" w:rsidRDefault="00133F00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2639" w:rsidRPr="00E12639" w:rsidRDefault="00E12639" w:rsidP="00E1263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639"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E12639" w:rsidRPr="00E12639" w:rsidTr="001263F8">
        <w:tc>
          <w:tcPr>
            <w:tcW w:w="1696" w:type="dxa"/>
            <w:shd w:val="clear" w:color="auto" w:fill="D9D9D9" w:themeFill="background1" w:themeFillShade="D9"/>
          </w:tcPr>
          <w:p w:rsidR="00E12639" w:rsidRPr="00E12639" w:rsidRDefault="00E12639" w:rsidP="00E126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E12639" w:rsidRPr="00E12639" w:rsidRDefault="00E12639" w:rsidP="00E126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E12639" w:rsidRPr="00E12639" w:rsidRDefault="00E12639" w:rsidP="00E126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E12639" w:rsidRPr="00E12639" w:rsidTr="0074350E">
        <w:trPr>
          <w:trHeight w:val="592"/>
        </w:trPr>
        <w:tc>
          <w:tcPr>
            <w:tcW w:w="1696" w:type="dxa"/>
            <w:vAlign w:val="center"/>
          </w:tcPr>
          <w:p w:rsidR="00E12639" w:rsidRPr="00E12639" w:rsidRDefault="00E12639" w:rsidP="00E126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  <w:p w:rsidR="00E12639" w:rsidRPr="00697EF8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133F00">
              <w:rPr>
                <w:rFonts w:ascii="Times New Roman" w:eastAsia="Times New Roman" w:hAnsi="Times New Roman" w:cs="Times New Roman"/>
                <w:sz w:val="24"/>
                <w:szCs w:val="24"/>
              </w:rPr>
              <w:t>3808001762</w:t>
            </w:r>
          </w:p>
        </w:tc>
        <w:tc>
          <w:tcPr>
            <w:tcW w:w="4111" w:type="dxa"/>
            <w:vAlign w:val="center"/>
          </w:tcPr>
          <w:p w:rsidR="00E12639" w:rsidRP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2 220 382,65</w:t>
            </w: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12639" w:rsidRP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включая </w:t>
            </w: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НДС </w:t>
            </w:r>
          </w:p>
        </w:tc>
      </w:tr>
      <w:tr w:rsidR="00E12639" w:rsidRPr="00E12639" w:rsidTr="0074350E">
        <w:trPr>
          <w:trHeight w:val="642"/>
        </w:trPr>
        <w:tc>
          <w:tcPr>
            <w:tcW w:w="1696" w:type="dxa"/>
            <w:vAlign w:val="center"/>
          </w:tcPr>
          <w:p w:rsidR="00E12639" w:rsidRPr="00E12639" w:rsidRDefault="00E12639" w:rsidP="00E1263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12639" w:rsidRPr="00697EF8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«ЦМ»</w:t>
            </w:r>
          </w:p>
          <w:p w:rsidR="00E12639" w:rsidRPr="00151866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5507244148</w:t>
            </w:r>
          </w:p>
        </w:tc>
        <w:tc>
          <w:tcPr>
            <w:tcW w:w="4111" w:type="dxa"/>
            <w:vAlign w:val="center"/>
          </w:tcPr>
          <w:p w:rsidR="00E12639" w:rsidRP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2 330 170,00</w:t>
            </w: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12639" w:rsidRP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</w:tbl>
    <w:p w:rsidR="00E12639" w:rsidRPr="00E12639" w:rsidRDefault="00E12639" w:rsidP="0069433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63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85C0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.01.2025</w:t>
      </w:r>
      <w:r w:rsidRPr="00E12639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bookmarkStart w:id="3" w:name="_GoBack"/>
      <w:bookmarkEnd w:id="3"/>
      <w:r w:rsidRPr="00E12639">
        <w:rPr>
          <w:rFonts w:ascii="Times New Roman" w:eastAsia="Times New Roman" w:hAnsi="Times New Roman" w:cs="Times New Roman"/>
          <w:sz w:val="24"/>
          <w:szCs w:val="24"/>
        </w:rPr>
        <w:t>ыло завершено рассмотрение 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3355"/>
        <w:gridCol w:w="2901"/>
        <w:gridCol w:w="2261"/>
      </w:tblGrid>
      <w:tr w:rsidR="00E12639" w:rsidRPr="00083247" w:rsidTr="00694334">
        <w:tc>
          <w:tcPr>
            <w:tcW w:w="969" w:type="dxa"/>
          </w:tcPr>
          <w:p w:rsid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355" w:type="dxa"/>
          </w:tcPr>
          <w:p w:rsid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901" w:type="dxa"/>
          </w:tcPr>
          <w:p w:rsidR="00E12639" w:rsidRPr="00A346F4" w:rsidRDefault="00E12639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261" w:type="dxa"/>
          </w:tcPr>
          <w:p w:rsidR="00E12639" w:rsidRPr="00A346F4" w:rsidRDefault="00E12639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E12639" w:rsidRPr="00083247" w:rsidTr="00694334">
        <w:trPr>
          <w:trHeight w:val="552"/>
        </w:trPr>
        <w:tc>
          <w:tcPr>
            <w:tcW w:w="969" w:type="dxa"/>
            <w:vAlign w:val="center"/>
          </w:tcPr>
          <w:p w:rsidR="00E12639" w:rsidRPr="009C2A8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55" w:type="dxa"/>
            <w:tcMar>
              <w:left w:w="57" w:type="dxa"/>
              <w:right w:w="57" w:type="dxa"/>
            </w:tcMar>
          </w:tcPr>
          <w:p w:rsid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  <w:p w:rsidR="00E12639" w:rsidRPr="00697EF8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133F00">
              <w:rPr>
                <w:rFonts w:ascii="Times New Roman" w:eastAsia="Times New Roman" w:hAnsi="Times New Roman" w:cs="Times New Roman"/>
                <w:sz w:val="24"/>
                <w:szCs w:val="24"/>
              </w:rPr>
              <w:t>3808001762</w:t>
            </w:r>
          </w:p>
        </w:tc>
        <w:tc>
          <w:tcPr>
            <w:tcW w:w="2901" w:type="dxa"/>
            <w:vAlign w:val="center"/>
          </w:tcPr>
          <w:p w:rsidR="00E12639" w:rsidRPr="00F6042A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1" w:type="dxa"/>
            <w:vAlign w:val="center"/>
          </w:tcPr>
          <w:p w:rsidR="00E12639" w:rsidRPr="00F6042A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E12639" w:rsidRPr="00083247" w:rsidTr="00694334">
        <w:trPr>
          <w:trHeight w:val="631"/>
        </w:trPr>
        <w:tc>
          <w:tcPr>
            <w:tcW w:w="969" w:type="dxa"/>
            <w:vAlign w:val="center"/>
          </w:tcPr>
          <w:p w:rsidR="00E12639" w:rsidRPr="009C2A8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5" w:type="dxa"/>
            <w:tcMar>
              <w:left w:w="57" w:type="dxa"/>
              <w:right w:w="57" w:type="dxa"/>
            </w:tcMar>
          </w:tcPr>
          <w:p w:rsidR="00E12639" w:rsidRPr="00697EF8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«ЦМ»</w:t>
            </w:r>
          </w:p>
          <w:p w:rsidR="00E12639" w:rsidRPr="00151866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5507244148</w:t>
            </w:r>
          </w:p>
        </w:tc>
        <w:tc>
          <w:tcPr>
            <w:tcW w:w="2901" w:type="dxa"/>
            <w:vAlign w:val="center"/>
          </w:tcPr>
          <w:p w:rsidR="00E12639" w:rsidRPr="00F6042A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1" w:type="dxa"/>
            <w:vAlign w:val="center"/>
          </w:tcPr>
          <w:p w:rsidR="00E12639" w:rsidRPr="00F6042A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:rsidR="00E12639" w:rsidRPr="00E12639" w:rsidRDefault="00E12639" w:rsidP="00E126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639"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2; отклонено – 0.</w:t>
      </w:r>
    </w:p>
    <w:p w:rsidR="00E12639" w:rsidRPr="00E12639" w:rsidRDefault="0074350E" w:rsidP="0069433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E12639" w:rsidRPr="00E1263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:rsidR="00E12639" w:rsidRPr="00E12639" w:rsidRDefault="00E12639" w:rsidP="00E12639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3"/>
        <w:tblW w:w="9918" w:type="dxa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4678"/>
      </w:tblGrid>
      <w:tr w:rsidR="00E12639" w:rsidRPr="00E12639" w:rsidTr="00E12639">
        <w:tc>
          <w:tcPr>
            <w:tcW w:w="846" w:type="dxa"/>
            <w:shd w:val="clear" w:color="auto" w:fill="D9D9D9" w:themeFill="background1" w:themeFillShade="D9"/>
          </w:tcPr>
          <w:p w:rsidR="00E12639" w:rsidRP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126" w:type="dxa"/>
          </w:tcPr>
          <w:p w:rsidR="00E12639" w:rsidRP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8" w:type="dxa"/>
          </w:tcPr>
          <w:p w:rsidR="00E12639" w:rsidRP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2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4678" w:type="dxa"/>
          </w:tcPr>
          <w:p w:rsidR="00E12639" w:rsidRP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26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E12639" w:rsidRPr="00E12639" w:rsidTr="00903A39"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639" w:rsidRP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6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  <w:p w:rsidR="00E12639" w:rsidRPr="00697EF8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133F00">
              <w:rPr>
                <w:rFonts w:ascii="Times New Roman" w:eastAsia="Times New Roman" w:hAnsi="Times New Roman" w:cs="Times New Roman"/>
                <w:sz w:val="24"/>
                <w:szCs w:val="24"/>
              </w:rPr>
              <w:t>3808001762</w:t>
            </w:r>
          </w:p>
        </w:tc>
        <w:tc>
          <w:tcPr>
            <w:tcW w:w="2268" w:type="dxa"/>
            <w:vAlign w:val="center"/>
          </w:tcPr>
          <w:p w:rsidR="00E12639" w:rsidRP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2 220 382,65</w:t>
            </w: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12639" w:rsidRP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включая </w:t>
            </w: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НДС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E12639" w:rsidRPr="00E12639" w:rsidRDefault="003C7118" w:rsidP="0097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истечении 30 дней</w:t>
            </w:r>
          </w:p>
          <w:p w:rsidR="00E12639" w:rsidRPr="00E12639" w:rsidRDefault="00E12639" w:rsidP="00E1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639" w:rsidRPr="00E12639" w:rsidTr="00E12639"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639" w:rsidRPr="00E12639" w:rsidRDefault="00E12639" w:rsidP="00E12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6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975FFA" w:rsidRDefault="00975FFA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FA" w:rsidRDefault="00975FFA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FA" w:rsidRDefault="00975FFA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FFA" w:rsidRDefault="00975FFA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639" w:rsidRPr="00697EF8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«ЦМ»</w:t>
            </w:r>
          </w:p>
          <w:p w:rsidR="00E12639" w:rsidRPr="00151866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5507244148</w:t>
            </w:r>
          </w:p>
        </w:tc>
        <w:tc>
          <w:tcPr>
            <w:tcW w:w="2268" w:type="dxa"/>
            <w:vAlign w:val="center"/>
          </w:tcPr>
          <w:p w:rsidR="00E12639" w:rsidRP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2 330 170,00</w:t>
            </w: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12639" w:rsidRPr="00E12639" w:rsidRDefault="00E12639" w:rsidP="00E1263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39"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E12639" w:rsidRPr="00975FFA" w:rsidRDefault="00E12639" w:rsidP="00E12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FFA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E12639" w:rsidRPr="00E12639" w:rsidRDefault="00975FFA" w:rsidP="006943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Постановления Правительства РФ от 11.12.2014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1352 для Участника закупки, являющегося субъектом малого и среднего предпринимательства (ООО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ЦМ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» таковым является) срок оплаты не может быть более 7 рабочих дней</w:t>
            </w:r>
          </w:p>
        </w:tc>
      </w:tr>
    </w:tbl>
    <w:p w:rsidR="003C7118" w:rsidRDefault="003C7118" w:rsidP="00694334">
      <w:pPr>
        <w:spacing w:before="120" w:line="21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По итогам анализа предложений лучшей среди допущенных становится заявка</w:t>
      </w:r>
      <w:r w:rsidRPr="003C711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ФБУ «Иркутский ЦСМ».</w:t>
      </w:r>
    </w:p>
    <w:p w:rsidR="000609E1" w:rsidRPr="000F20A1" w:rsidRDefault="000609E1" w:rsidP="000609E1">
      <w:pPr>
        <w:spacing w:before="240"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0A1">
        <w:rPr>
          <w:rFonts w:ascii="Times New Roman" w:eastAsia="Times New Roman" w:hAnsi="Times New Roman" w:cs="Times New Roman"/>
          <w:b/>
          <w:sz w:val="24"/>
          <w:szCs w:val="24"/>
        </w:rPr>
        <w:t>Реш</w:t>
      </w:r>
      <w:r w:rsidR="00975FFA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  <w:r w:rsidRPr="000F20A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609E1" w:rsidRPr="00975FFA" w:rsidRDefault="00975FFA" w:rsidP="0069433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FFA">
        <w:rPr>
          <w:rFonts w:ascii="Times New Roman" w:eastAsia="Times New Roman" w:hAnsi="Times New Roman" w:cs="Times New Roman"/>
          <w:sz w:val="24"/>
          <w:szCs w:val="24"/>
        </w:rPr>
        <w:t>По итогам Анализа 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заключить договор на о</w:t>
      </w:r>
      <w:r w:rsidRPr="00883DD1">
        <w:rPr>
          <w:rFonts w:ascii="Times New Roman" w:eastAsia="Times New Roman" w:hAnsi="Times New Roman" w:cs="Times New Roman"/>
          <w:sz w:val="24"/>
          <w:szCs w:val="24"/>
        </w:rPr>
        <w:t>казание услуг по обеспечению единства измерений (поверк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83DD1">
        <w:rPr>
          <w:rFonts w:ascii="Times New Roman" w:eastAsia="Times New Roman" w:hAnsi="Times New Roman" w:cs="Times New Roman"/>
          <w:sz w:val="24"/>
          <w:szCs w:val="24"/>
        </w:rPr>
        <w:t>средств измерений)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3"/>
          <w:szCs w:val="23"/>
        </w:rPr>
        <w:t>ФБУ «Иркутский ЦСМ» на общую сумму 2 220 382,65 руб.</w:t>
      </w:r>
      <w:r w:rsidR="00E81CCF">
        <w:rPr>
          <w:rFonts w:ascii="Times New Roman" w:eastAsia="Times New Roman" w:hAnsi="Times New Roman" w:cs="Times New Roman"/>
          <w:sz w:val="23"/>
          <w:szCs w:val="23"/>
        </w:rPr>
        <w:t xml:space="preserve"> (Два миллиона двести двадцать тысяч триста восемьдесят два рубля 65 копеек)</w:t>
      </w:r>
      <w:r>
        <w:rPr>
          <w:rFonts w:ascii="Times New Roman" w:eastAsia="Times New Roman" w:hAnsi="Times New Roman" w:cs="Times New Roman"/>
          <w:sz w:val="23"/>
          <w:szCs w:val="23"/>
        </w:rPr>
        <w:t>, включая НДС</w:t>
      </w:r>
      <w:r w:rsidR="00E81CCF">
        <w:rPr>
          <w:rFonts w:ascii="Times New Roman" w:eastAsia="Times New Roman" w:hAnsi="Times New Roman" w:cs="Times New Roman"/>
          <w:sz w:val="23"/>
          <w:szCs w:val="23"/>
        </w:rPr>
        <w:t xml:space="preserve">. Стоимость поверки </w:t>
      </w:r>
      <w:r w:rsidR="000339A6">
        <w:rPr>
          <w:rFonts w:ascii="Times New Roman" w:eastAsia="Times New Roman" w:hAnsi="Times New Roman" w:cs="Times New Roman"/>
          <w:sz w:val="23"/>
          <w:szCs w:val="23"/>
        </w:rPr>
        <w:t>по каждому средств</w:t>
      </w:r>
      <w:r w:rsidR="00694334">
        <w:rPr>
          <w:rFonts w:ascii="Times New Roman" w:eastAsia="Times New Roman" w:hAnsi="Times New Roman" w:cs="Times New Roman"/>
          <w:sz w:val="23"/>
          <w:szCs w:val="23"/>
        </w:rPr>
        <w:t>у</w:t>
      </w:r>
      <w:r w:rsidR="000339A6">
        <w:rPr>
          <w:rFonts w:ascii="Times New Roman" w:eastAsia="Times New Roman" w:hAnsi="Times New Roman" w:cs="Times New Roman"/>
          <w:sz w:val="23"/>
          <w:szCs w:val="23"/>
        </w:rPr>
        <w:t xml:space="preserve"> измерений</w:t>
      </w:r>
      <w:r w:rsidR="00694334">
        <w:rPr>
          <w:rFonts w:ascii="Times New Roman" w:eastAsia="Times New Roman" w:hAnsi="Times New Roman" w:cs="Times New Roman"/>
          <w:sz w:val="23"/>
          <w:szCs w:val="23"/>
        </w:rPr>
        <w:t xml:space="preserve"> (СИ)</w:t>
      </w:r>
      <w:r w:rsidR="000339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81CCF">
        <w:rPr>
          <w:rFonts w:ascii="Times New Roman" w:eastAsia="Times New Roman" w:hAnsi="Times New Roman" w:cs="Times New Roman"/>
          <w:sz w:val="23"/>
          <w:szCs w:val="23"/>
        </w:rPr>
        <w:t>приведена таблице:</w:t>
      </w:r>
    </w:p>
    <w:tbl>
      <w:tblPr>
        <w:tblW w:w="951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93"/>
        <w:gridCol w:w="1418"/>
        <w:gridCol w:w="1701"/>
        <w:gridCol w:w="1701"/>
      </w:tblGrid>
      <w:tr w:rsidR="0074350E" w:rsidRPr="005C6A5E" w:rsidTr="001263F8">
        <w:trPr>
          <w:trHeight w:val="493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0E" w:rsidRPr="000339A6" w:rsidRDefault="0074350E" w:rsidP="00126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39A6">
              <w:rPr>
                <w:rFonts w:ascii="Times New Roman" w:hAnsi="Times New Roman" w:cs="Times New Roman"/>
                <w:bCs/>
                <w:color w:val="000000"/>
              </w:rPr>
              <w:t>Наименование СИ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0E" w:rsidRPr="000339A6" w:rsidRDefault="0074350E" w:rsidP="001263F8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39A6">
              <w:rPr>
                <w:rFonts w:ascii="Times New Roman" w:hAnsi="Times New Roman" w:cs="Times New Roman"/>
                <w:bCs/>
                <w:color w:val="000000"/>
              </w:rPr>
              <w:t>Количество (шт.)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0E" w:rsidRPr="000339A6" w:rsidRDefault="0074350E" w:rsidP="001263F8">
            <w:pPr>
              <w:spacing w:after="0" w:line="235" w:lineRule="auto"/>
              <w:ind w:left="-113" w:right="-10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39A6">
              <w:rPr>
                <w:rFonts w:ascii="Times New Roman" w:hAnsi="Times New Roman" w:cs="Times New Roman"/>
                <w:bCs/>
                <w:color w:val="000000"/>
              </w:rPr>
              <w:t>Цена поверки/за 1 шт.</w:t>
            </w:r>
            <w:r w:rsidRPr="000339A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 (руб., без НДС)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0E" w:rsidRPr="000339A6" w:rsidRDefault="0074350E" w:rsidP="00694334">
            <w:pPr>
              <w:spacing w:after="0" w:line="235" w:lineRule="auto"/>
              <w:ind w:left="-104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339A6">
              <w:rPr>
                <w:rFonts w:ascii="Times New Roman" w:hAnsi="Times New Roman" w:cs="Times New Roman"/>
                <w:bCs/>
                <w:color w:val="000000"/>
              </w:rPr>
              <w:t>Итоговая стоимость</w:t>
            </w:r>
            <w:r w:rsidRPr="000339A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 (руб., без НДС)</w:t>
            </w:r>
          </w:p>
        </w:tc>
      </w:tr>
      <w:tr w:rsidR="0074350E" w:rsidRPr="005C6A5E" w:rsidTr="00694334">
        <w:trPr>
          <w:trHeight w:val="509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0E" w:rsidRPr="000339A6" w:rsidRDefault="0074350E" w:rsidP="001263F8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0E" w:rsidRPr="000339A6" w:rsidRDefault="0074350E" w:rsidP="001263F8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0E" w:rsidRPr="000339A6" w:rsidRDefault="0074350E" w:rsidP="001263F8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50E" w:rsidRPr="000339A6" w:rsidRDefault="0074350E" w:rsidP="001263F8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81CCF" w:rsidRPr="005C6A5E" w:rsidTr="00DA4A26">
        <w:trPr>
          <w:trHeight w:val="51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 xml:space="preserve">Вольтамперфазометр ПАРМА ВАФ, </w:t>
            </w:r>
            <w:proofErr w:type="spellStart"/>
            <w:r w:rsidRPr="000339A6">
              <w:rPr>
                <w:rFonts w:ascii="Times New Roman" w:hAnsi="Times New Roman" w:cs="Times New Roman"/>
              </w:rPr>
              <w:t>Ретометр</w:t>
            </w:r>
            <w:proofErr w:type="spellEnd"/>
            <w:r w:rsidRPr="000339A6">
              <w:rPr>
                <w:rFonts w:ascii="Times New Roman" w:hAnsi="Times New Roman" w:cs="Times New Roman"/>
              </w:rPr>
              <w:t xml:space="preserve"> М2, ВАФ РС-30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3 758,40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390 873,60</w:t>
            </w:r>
          </w:p>
        </w:tc>
      </w:tr>
      <w:tr w:rsidR="00E81CCF" w:rsidRPr="005C6A5E" w:rsidTr="00E1133A">
        <w:trPr>
          <w:trHeight w:val="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Клещи-мультиметр цифровые DT 3340, APPA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1 509,40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639 985,60</w:t>
            </w:r>
          </w:p>
        </w:tc>
      </w:tr>
      <w:tr w:rsidR="00E81CCF" w:rsidRPr="005C6A5E" w:rsidTr="00E1133A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lastRenderedPageBreak/>
              <w:t xml:space="preserve">Термометры инфракрасные Кельвин, </w:t>
            </w:r>
            <w:proofErr w:type="spellStart"/>
            <w:r w:rsidRPr="000339A6">
              <w:rPr>
                <w:rFonts w:ascii="Times New Roman" w:hAnsi="Times New Roman" w:cs="Times New Roman"/>
              </w:rPr>
              <w:t>Optris</w:t>
            </w:r>
            <w:proofErr w:type="spellEnd"/>
            <w:r w:rsidRPr="000339A6">
              <w:rPr>
                <w:rFonts w:ascii="Times New Roman" w:hAnsi="Times New Roman" w:cs="Times New Roman"/>
              </w:rPr>
              <w:t xml:space="preserve">, «Питон», </w:t>
            </w:r>
            <w:proofErr w:type="spellStart"/>
            <w:r w:rsidRPr="000339A6">
              <w:rPr>
                <w:rFonts w:ascii="Times New Roman" w:hAnsi="Times New Roman" w:cs="Times New Roman"/>
              </w:rPr>
              <w:t>Raytek</w:t>
            </w:r>
            <w:proofErr w:type="spellEnd"/>
            <w:r w:rsidRPr="000339A6">
              <w:rPr>
                <w:rFonts w:ascii="Times New Roman" w:hAnsi="Times New Roman" w:cs="Times New Roman"/>
              </w:rPr>
              <w:t xml:space="preserve"> ST PRO 20, </w:t>
            </w:r>
            <w:proofErr w:type="spellStart"/>
            <w:r w:rsidRPr="000339A6">
              <w:rPr>
                <w:rFonts w:ascii="Times New Roman" w:hAnsi="Times New Roman" w:cs="Times New Roman"/>
              </w:rPr>
              <w:t>Fluke</w:t>
            </w:r>
            <w:proofErr w:type="spellEnd"/>
            <w:r w:rsidRPr="000339A6">
              <w:rPr>
                <w:rFonts w:ascii="Times New Roman" w:hAnsi="Times New Roman" w:cs="Times New Roman"/>
              </w:rPr>
              <w:t>, Testo-810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4 437,63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412 699,59</w:t>
            </w:r>
          </w:p>
        </w:tc>
      </w:tr>
      <w:tr w:rsidR="00E81CCF" w:rsidRPr="005C6A5E" w:rsidTr="00E1133A">
        <w:trPr>
          <w:trHeight w:val="2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 xml:space="preserve">Термометр цифровой </w:t>
            </w:r>
            <w:proofErr w:type="spellStart"/>
            <w:r w:rsidRPr="000339A6">
              <w:rPr>
                <w:rFonts w:ascii="Times New Roman" w:hAnsi="Times New Roman" w:cs="Times New Roman"/>
              </w:rPr>
              <w:t>Checktemp</w:t>
            </w:r>
            <w:proofErr w:type="spellEnd"/>
            <w:r w:rsidRPr="000339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39A6">
              <w:rPr>
                <w:rFonts w:ascii="Times New Roman" w:hAnsi="Times New Roman" w:cs="Times New Roman"/>
              </w:rPr>
              <w:t>Testo</w:t>
            </w:r>
            <w:proofErr w:type="spellEnd"/>
            <w:r w:rsidRPr="000339A6">
              <w:rPr>
                <w:rFonts w:ascii="Times New Roman" w:hAnsi="Times New Roman" w:cs="Times New Roman"/>
              </w:rPr>
              <w:t>, ТК-5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1 260,35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22 686,30</w:t>
            </w:r>
          </w:p>
        </w:tc>
      </w:tr>
      <w:tr w:rsidR="00E81CCF" w:rsidRPr="005C6A5E" w:rsidTr="00E1133A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Термометры стеклянный технический СП-2П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1 358,45</w:t>
            </w:r>
          </w:p>
        </w:tc>
      </w:tr>
      <w:tr w:rsidR="00E81CCF" w:rsidRPr="005C6A5E" w:rsidTr="00E1133A">
        <w:trPr>
          <w:trHeight w:val="3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 xml:space="preserve">Тепловизор </w:t>
            </w:r>
            <w:proofErr w:type="spellStart"/>
            <w:r w:rsidRPr="000339A6">
              <w:rPr>
                <w:rFonts w:ascii="Times New Roman" w:hAnsi="Times New Roman" w:cs="Times New Roman"/>
              </w:rPr>
              <w:t>Flir</w:t>
            </w:r>
            <w:proofErr w:type="spellEnd"/>
            <w:r w:rsidRPr="000339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39A6">
              <w:rPr>
                <w:rFonts w:ascii="Times New Roman" w:hAnsi="Times New Roman" w:cs="Times New Roman"/>
              </w:rPr>
              <w:t>Testo</w:t>
            </w:r>
            <w:proofErr w:type="spellEnd"/>
            <w:r w:rsidRPr="000339A6">
              <w:rPr>
                <w:rFonts w:ascii="Times New Roman" w:hAnsi="Times New Roman" w:cs="Times New Roman"/>
              </w:rPr>
              <w:t xml:space="preserve"> 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6 490,40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DA4A2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38 942,40</w:t>
            </w:r>
          </w:p>
        </w:tc>
      </w:tr>
      <w:tr w:rsidR="00E81CCF" w:rsidRPr="005C6A5E" w:rsidTr="00E1133A">
        <w:trPr>
          <w:trHeight w:val="4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Секундомер механический СОПР-2А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161 884,58</w:t>
            </w:r>
          </w:p>
        </w:tc>
      </w:tr>
      <w:tr w:rsidR="00E81CCF" w:rsidRPr="005C6A5E" w:rsidTr="00E1133A">
        <w:trPr>
          <w:trHeight w:val="4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Секундомер электронный Интеграл С-01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1 639,41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4A2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3 282,83</w:t>
            </w:r>
          </w:p>
        </w:tc>
      </w:tr>
      <w:tr w:rsidR="00E81CCF" w:rsidRPr="005C6A5E" w:rsidTr="00E1133A">
        <w:trPr>
          <w:trHeight w:val="2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Измерители артериального давления и частоты пульса электронные, полуавтоматические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407,53</w:t>
            </w:r>
          </w:p>
        </w:tc>
      </w:tr>
      <w:tr w:rsidR="00E81CCF" w:rsidRPr="005C6A5E" w:rsidTr="00E1133A">
        <w:trPr>
          <w:trHeight w:val="2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Манометр технический ТМ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1 812,80</w:t>
            </w:r>
          </w:p>
        </w:tc>
      </w:tr>
      <w:tr w:rsidR="00E81CCF" w:rsidRPr="005C6A5E" w:rsidTr="00E1133A">
        <w:trPr>
          <w:trHeight w:val="3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Штангенциркули до150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1 992,43</w:t>
            </w:r>
          </w:p>
        </w:tc>
      </w:tr>
      <w:tr w:rsidR="00E81CCF" w:rsidRPr="005C6A5E" w:rsidTr="00E1133A">
        <w:trPr>
          <w:trHeight w:val="3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Штангенциркули до 250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815,07</w:t>
            </w:r>
          </w:p>
        </w:tc>
      </w:tr>
      <w:tr w:rsidR="00E81CCF" w:rsidRPr="005C6A5E" w:rsidTr="00E1133A">
        <w:trPr>
          <w:trHeight w:val="3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 xml:space="preserve">Дальномер лазерный </w:t>
            </w:r>
            <w:proofErr w:type="spellStart"/>
            <w:r w:rsidRPr="000339A6">
              <w:rPr>
                <w:rFonts w:ascii="Times New Roman" w:hAnsi="Times New Roman" w:cs="Times New Roman"/>
              </w:rPr>
              <w:t>Leika</w:t>
            </w:r>
            <w:proofErr w:type="spellEnd"/>
            <w:r w:rsidRPr="00033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9A6">
              <w:rPr>
                <w:rFonts w:ascii="Times New Roman" w:hAnsi="Times New Roman" w:cs="Times New Roman"/>
              </w:rPr>
              <w:t>Disto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14 332,50</w:t>
            </w:r>
          </w:p>
        </w:tc>
      </w:tr>
      <w:tr w:rsidR="00E81CCF" w:rsidRPr="005C6A5E" w:rsidTr="00E1133A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Шумомер VA-SM 8080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5 569,68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11 139,36</w:t>
            </w:r>
          </w:p>
        </w:tc>
      </w:tr>
      <w:tr w:rsidR="00E81CCF" w:rsidRPr="005C6A5E" w:rsidTr="00E1133A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Счетчик электронный эталонный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15 841,11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CCF" w:rsidRPr="000339A6" w:rsidRDefault="000339A6" w:rsidP="000339A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47 523,33</w:t>
            </w:r>
          </w:p>
        </w:tc>
      </w:tr>
      <w:tr w:rsidR="00E81CCF" w:rsidRPr="000B4FFF" w:rsidTr="00E1133A">
        <w:trPr>
          <w:trHeight w:val="41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 xml:space="preserve">Весы электронные почтовые PS5000 RUS, </w:t>
            </w:r>
            <w:proofErr w:type="spellStart"/>
            <w:r w:rsidRPr="000339A6">
              <w:rPr>
                <w:rFonts w:ascii="Times New Roman" w:hAnsi="Times New Roman" w:cs="Times New Roman"/>
              </w:rPr>
              <w:t>Paket</w:t>
            </w:r>
            <w:proofErr w:type="spellEnd"/>
            <w:r w:rsidRPr="000339A6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CF" w:rsidRPr="000339A6" w:rsidRDefault="00E81CCF" w:rsidP="000339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9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CF" w:rsidRPr="000339A6" w:rsidRDefault="000339A6" w:rsidP="000339A6">
            <w:pPr>
              <w:spacing w:after="0" w:line="235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CF" w:rsidRPr="000339A6" w:rsidRDefault="000339A6" w:rsidP="000339A6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582,49</w:t>
            </w:r>
          </w:p>
        </w:tc>
      </w:tr>
      <w:tr w:rsidR="0074350E" w:rsidRPr="005C6A5E" w:rsidTr="00694334">
        <w:trPr>
          <w:trHeight w:val="35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0E" w:rsidRPr="000B4FFF" w:rsidRDefault="0074350E" w:rsidP="001263F8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4FFF">
              <w:rPr>
                <w:rFonts w:ascii="Times New Roman" w:hAnsi="Times New Roman" w:cs="Times New Roman"/>
                <w:b/>
                <w:bCs/>
                <w:color w:val="000000"/>
              </w:rPr>
              <w:t>ИТОГО поверка: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0E" w:rsidRPr="000B4FFF" w:rsidRDefault="000339A6" w:rsidP="001263F8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0E" w:rsidRPr="00782AA3" w:rsidRDefault="0074350E" w:rsidP="001263F8">
            <w:pPr>
              <w:spacing w:after="0" w:line="235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0E" w:rsidRPr="00782AA3" w:rsidRDefault="0074350E" w:rsidP="001263F8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4350E" w:rsidRPr="005C6A5E" w:rsidTr="001263F8">
        <w:trPr>
          <w:trHeight w:val="365"/>
        </w:trPr>
        <w:tc>
          <w:tcPr>
            <w:tcW w:w="78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0E" w:rsidRPr="00782AA3" w:rsidRDefault="0074350E" w:rsidP="001263F8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Cs/>
                <w:color w:val="000000"/>
              </w:rPr>
              <w:t>ИТОГО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0E" w:rsidRPr="00782AA3" w:rsidRDefault="000339A6" w:rsidP="001263F8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1 850 318,87</w:t>
            </w:r>
          </w:p>
        </w:tc>
      </w:tr>
      <w:tr w:rsidR="0074350E" w:rsidRPr="005C6A5E" w:rsidTr="001263F8">
        <w:trPr>
          <w:trHeight w:val="365"/>
        </w:trPr>
        <w:tc>
          <w:tcPr>
            <w:tcW w:w="78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0E" w:rsidRPr="00782AA3" w:rsidRDefault="0074350E" w:rsidP="001263F8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Cs/>
                <w:color w:val="000000"/>
              </w:rPr>
              <w:t>Сумма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0E" w:rsidRPr="00782AA3" w:rsidRDefault="000339A6" w:rsidP="001263F8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370 063,78</w:t>
            </w:r>
          </w:p>
        </w:tc>
      </w:tr>
      <w:tr w:rsidR="0074350E" w:rsidRPr="005C6A5E" w:rsidTr="001263F8">
        <w:trPr>
          <w:trHeight w:val="400"/>
        </w:trPr>
        <w:tc>
          <w:tcPr>
            <w:tcW w:w="78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50E" w:rsidRPr="00782AA3" w:rsidRDefault="0074350E" w:rsidP="001263F8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/>
                <w:bCs/>
                <w:color w:val="000000"/>
              </w:rPr>
              <w:t>ИТОГО 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0E" w:rsidRPr="00782AA3" w:rsidRDefault="000339A6" w:rsidP="001263F8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2 220 382,65</w:t>
            </w:r>
          </w:p>
        </w:tc>
      </w:tr>
    </w:tbl>
    <w:p w:rsidR="0074350E" w:rsidRPr="0074350E" w:rsidRDefault="0074350E" w:rsidP="00743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7B9" w:rsidRPr="00D037B9" w:rsidRDefault="000339A6" w:rsidP="00441BCB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составе заявки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ФБУ «Иркутский ЦСМ» </w:t>
      </w:r>
      <w:r w:rsidR="000E0E60">
        <w:rPr>
          <w:rFonts w:ascii="Times New Roman" w:eastAsia="Times New Roman" w:hAnsi="Times New Roman" w:cs="Times New Roman"/>
          <w:sz w:val="23"/>
          <w:szCs w:val="23"/>
        </w:rPr>
        <w:t>был получен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Протокол разногласий. </w:t>
      </w:r>
      <w:r w:rsidR="00D037B9">
        <w:rPr>
          <w:rFonts w:ascii="Times New Roman" w:eastAsia="Times New Roman" w:hAnsi="Times New Roman" w:cs="Times New Roman"/>
          <w:sz w:val="23"/>
          <w:szCs w:val="23"/>
        </w:rPr>
        <w:t>Комиссией принято решение принять предложение по изменению только пункта 2.1.1 Договора</w:t>
      </w:r>
      <w:r w:rsidR="002C67E9">
        <w:rPr>
          <w:rFonts w:ascii="Times New Roman" w:eastAsia="Times New Roman" w:hAnsi="Times New Roman" w:cs="Times New Roman"/>
          <w:sz w:val="23"/>
          <w:szCs w:val="23"/>
        </w:rPr>
        <w:t xml:space="preserve"> и изложить его </w:t>
      </w:r>
      <w:r w:rsidR="00D037B9">
        <w:rPr>
          <w:rFonts w:ascii="Times New Roman" w:eastAsia="Times New Roman" w:hAnsi="Times New Roman" w:cs="Times New Roman"/>
          <w:sz w:val="23"/>
          <w:szCs w:val="23"/>
        </w:rPr>
        <w:t>в следующей редакции:</w:t>
      </w:r>
      <w:r w:rsidR="00D037B9" w:rsidRPr="00D037B9">
        <w:rPr>
          <w:b/>
          <w:sz w:val="24"/>
        </w:rPr>
        <w:t xml:space="preserve"> </w:t>
      </w:r>
      <w:r w:rsidR="00D037B9" w:rsidRPr="00D037B9">
        <w:rPr>
          <w:rFonts w:ascii="Times New Roman" w:hAnsi="Times New Roman" w:cs="Times New Roman"/>
          <w:sz w:val="24"/>
        </w:rPr>
        <w:t>«2.1.1. Оказать услуги по обеспечению единства измерений в согласованные сроки в зависимости от объемов и сложности в течение</w:t>
      </w:r>
      <w:r w:rsidR="00D037B9" w:rsidRPr="00D037B9">
        <w:rPr>
          <w:rFonts w:ascii="Times New Roman" w:hAnsi="Times New Roman" w:cs="Times New Roman"/>
          <w:noProof/>
          <w:sz w:val="24"/>
        </w:rPr>
        <w:t xml:space="preserve"> 15 - 20</w:t>
      </w:r>
      <w:r w:rsidR="00D037B9" w:rsidRPr="00D037B9">
        <w:rPr>
          <w:rFonts w:ascii="Times New Roman" w:hAnsi="Times New Roman" w:cs="Times New Roman"/>
          <w:sz w:val="24"/>
        </w:rPr>
        <w:t xml:space="preserve"> рабочих дней. В случае отсутствия документов и (или) комплектующих устройств к СИ, срок поверки устанавливается с момента их доставки</w:t>
      </w:r>
      <w:r w:rsidR="00D037B9">
        <w:rPr>
          <w:rFonts w:ascii="Times New Roman" w:hAnsi="Times New Roman" w:cs="Times New Roman"/>
          <w:sz w:val="24"/>
        </w:rPr>
        <w:t>, начиная с первого рабочего дня, следующего за днём получения СИ от Заказчика».</w:t>
      </w:r>
    </w:p>
    <w:p w:rsidR="006C57DE" w:rsidRPr="001670A8" w:rsidRDefault="00D037B9" w:rsidP="00441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Услуги 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по обеспечению единства измерений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оказывает 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в согласованные </w:t>
      </w:r>
      <w:r w:rsidR="00CB4944" w:rsidRPr="001D490C">
        <w:rPr>
          <w:rFonts w:ascii="Times New Roman" w:eastAsia="Times New Roman" w:hAnsi="Times New Roman" w:cs="Times New Roman"/>
          <w:sz w:val="24"/>
          <w:szCs w:val="24"/>
        </w:rPr>
        <w:t>сторонами сроки, но не более 20 (двадцати) рабочих дней</w:t>
      </w:r>
      <w:r w:rsidR="00CB4944">
        <w:rPr>
          <w:rFonts w:ascii="Times New Roman" w:eastAsia="Times New Roman" w:hAnsi="Times New Roman" w:cs="Times New Roman"/>
          <w:sz w:val="24"/>
          <w:szCs w:val="24"/>
        </w:rPr>
        <w:t xml:space="preserve"> с момента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передачи средств измерений на поверку. 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>Оплата услуг производится Заказчиком на основании счета Исполнителя з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а проведение поверки конкретных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7E9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 путем перечисления денежных средств на лицевой счет Исполнителя по истечении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тридцати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>) дней после подписания сторонами акта об оказании услуг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57DE" w:rsidRPr="00634E4D">
        <w:rPr>
          <w:rFonts w:ascii="Times New Roman" w:hAnsi="Times New Roman" w:cs="Times New Roman"/>
          <w:sz w:val="24"/>
          <w:szCs w:val="24"/>
        </w:rPr>
        <w:t>Срок действия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7DE" w:rsidRPr="001670A8">
        <w:rPr>
          <w:rFonts w:ascii="Times New Roman" w:hAnsi="Times New Roman" w:cs="Times New Roman"/>
          <w:sz w:val="24"/>
          <w:szCs w:val="24"/>
        </w:rPr>
        <w:t xml:space="preserve">договора: до </w:t>
      </w:r>
      <w:r w:rsidR="006C57DE" w:rsidRPr="00AA20F7">
        <w:rPr>
          <w:rFonts w:ascii="Times New Roman" w:hAnsi="Times New Roman" w:cs="Times New Roman"/>
          <w:sz w:val="24"/>
          <w:szCs w:val="24"/>
        </w:rPr>
        <w:t>31.12.20</w:t>
      </w:r>
      <w:r w:rsidR="00A85CF7" w:rsidRPr="00AA20F7">
        <w:rPr>
          <w:rFonts w:ascii="Times New Roman" w:hAnsi="Times New Roman" w:cs="Times New Roman"/>
          <w:sz w:val="24"/>
          <w:szCs w:val="24"/>
        </w:rPr>
        <w:t>2</w:t>
      </w:r>
      <w:r w:rsidRPr="00AA20F7">
        <w:rPr>
          <w:rFonts w:ascii="Times New Roman" w:hAnsi="Times New Roman" w:cs="Times New Roman"/>
          <w:sz w:val="24"/>
          <w:szCs w:val="24"/>
        </w:rPr>
        <w:t>5</w:t>
      </w:r>
      <w:r w:rsidR="006C57DE" w:rsidRPr="00AA20F7">
        <w:rPr>
          <w:rFonts w:ascii="Times New Roman" w:hAnsi="Times New Roman" w:cs="Times New Roman"/>
          <w:sz w:val="24"/>
          <w:szCs w:val="24"/>
        </w:rPr>
        <w:t xml:space="preserve">. </w:t>
      </w:r>
      <w:r w:rsidR="001670A8" w:rsidRPr="00AA20F7">
        <w:rPr>
          <w:rFonts w:ascii="Times New Roman" w:hAnsi="Times New Roman" w:cs="Times New Roman"/>
          <w:sz w:val="24"/>
          <w:szCs w:val="24"/>
        </w:rPr>
        <w:t>П</w:t>
      </w:r>
      <w:r w:rsidR="001670A8" w:rsidRPr="001670A8">
        <w:rPr>
          <w:rFonts w:ascii="Times New Roman" w:hAnsi="Times New Roman" w:cs="Times New Roman"/>
          <w:sz w:val="24"/>
          <w:szCs w:val="24"/>
        </w:rPr>
        <w:t>о согласованию Сторон срок действия Договора может быть пролонгирован на тот же срок и на тех же условиях.</w:t>
      </w:r>
      <w:r w:rsidR="001670A8">
        <w:rPr>
          <w:rFonts w:ascii="Times New Roman" w:hAnsi="Times New Roman" w:cs="Times New Roman"/>
          <w:sz w:val="24"/>
          <w:szCs w:val="24"/>
        </w:rPr>
        <w:t xml:space="preserve"> </w:t>
      </w:r>
      <w:r w:rsidR="006C57DE" w:rsidRPr="001670A8">
        <w:rPr>
          <w:rFonts w:ascii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:rsidR="00F93672" w:rsidRDefault="00F93672" w:rsidP="008D3C5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41BCB" w:rsidRPr="00441BCB" w:rsidRDefault="00441BCB" w:rsidP="00441BCB">
      <w:pPr>
        <w:spacing w:before="3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CB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Секретаря Закупочной комиссии при опубликовании в единой информационной системе </w:t>
      </w:r>
      <w:hyperlink r:id="rId8" w:history="1">
        <w:r w:rsidRPr="00441BCB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441BCB">
        <w:rPr>
          <w:rFonts w:ascii="Times New Roman" w:eastAsia="Times New Roman" w:hAnsi="Times New Roman" w:cs="Times New Roman"/>
          <w:sz w:val="24"/>
          <w:szCs w:val="24"/>
        </w:rPr>
        <w:t>, на электронной торговой площадке                   www.b2b-energo.ru.</w:t>
      </w:r>
    </w:p>
    <w:p w:rsidR="008B45C5" w:rsidRPr="00B03B4C" w:rsidRDefault="008B45C5" w:rsidP="00441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45C5" w:rsidRPr="00B03B4C" w:rsidSect="000F20A1">
      <w:footerReference w:type="default" r:id="rId9"/>
      <w:pgSz w:w="11906" w:h="16838"/>
      <w:pgMar w:top="851" w:right="709" w:bottom="851" w:left="170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CC" w:rsidRDefault="00E016CC" w:rsidP="001D011F">
      <w:pPr>
        <w:spacing w:after="0" w:line="240" w:lineRule="auto"/>
      </w:pPr>
      <w:r>
        <w:separator/>
      </w:r>
    </w:p>
  </w:endnote>
  <w:endnote w:type="continuationSeparator" w:id="0">
    <w:p w:rsidR="00E016CC" w:rsidRDefault="00E016CC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0835"/>
      <w:docPartObj>
        <w:docPartGallery w:val="Page Numbers (Bottom of Page)"/>
        <w:docPartUnique/>
      </w:docPartObj>
    </w:sdtPr>
    <w:sdtEndPr/>
    <w:sdtContent>
      <w:p w:rsidR="00DE0A9E" w:rsidRDefault="00790B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C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CC" w:rsidRDefault="00E016CC" w:rsidP="001D011F">
      <w:pPr>
        <w:spacing w:after="0" w:line="240" w:lineRule="auto"/>
      </w:pPr>
      <w:r>
        <w:separator/>
      </w:r>
    </w:p>
  </w:footnote>
  <w:footnote w:type="continuationSeparator" w:id="0">
    <w:p w:rsidR="00E016CC" w:rsidRDefault="00E016CC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0F53"/>
    <w:multiLevelType w:val="hybridMultilevel"/>
    <w:tmpl w:val="398C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8"/>
  </w:num>
  <w:num w:numId="5">
    <w:abstractNumId w:val="16"/>
  </w:num>
  <w:num w:numId="6">
    <w:abstractNumId w:val="19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  <w:num w:numId="11">
    <w:abstractNumId w:val="13"/>
  </w:num>
  <w:num w:numId="12">
    <w:abstractNumId w:val="7"/>
  </w:num>
  <w:num w:numId="13">
    <w:abstractNumId w:val="12"/>
  </w:num>
  <w:num w:numId="14">
    <w:abstractNumId w:val="9"/>
  </w:num>
  <w:num w:numId="15">
    <w:abstractNumId w:val="2"/>
  </w:num>
  <w:num w:numId="16">
    <w:abstractNumId w:val="14"/>
  </w:num>
  <w:num w:numId="17">
    <w:abstractNumId w:val="6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1AF1"/>
    <w:rsid w:val="000020C0"/>
    <w:rsid w:val="00011BE2"/>
    <w:rsid w:val="00014D61"/>
    <w:rsid w:val="00021A57"/>
    <w:rsid w:val="00022092"/>
    <w:rsid w:val="00023B69"/>
    <w:rsid w:val="00031F51"/>
    <w:rsid w:val="000339A6"/>
    <w:rsid w:val="00036DFE"/>
    <w:rsid w:val="00053E62"/>
    <w:rsid w:val="000609E1"/>
    <w:rsid w:val="00065740"/>
    <w:rsid w:val="00080B3C"/>
    <w:rsid w:val="00081D45"/>
    <w:rsid w:val="00083247"/>
    <w:rsid w:val="000853C8"/>
    <w:rsid w:val="0008750C"/>
    <w:rsid w:val="00092C56"/>
    <w:rsid w:val="000A03E3"/>
    <w:rsid w:val="000A0D17"/>
    <w:rsid w:val="000B4FFF"/>
    <w:rsid w:val="000C76C6"/>
    <w:rsid w:val="000D1DDD"/>
    <w:rsid w:val="000D27C5"/>
    <w:rsid w:val="000E0DF8"/>
    <w:rsid w:val="000E0E60"/>
    <w:rsid w:val="000E36CE"/>
    <w:rsid w:val="000F20A1"/>
    <w:rsid w:val="00102B3B"/>
    <w:rsid w:val="00103AC8"/>
    <w:rsid w:val="0010435C"/>
    <w:rsid w:val="00116B66"/>
    <w:rsid w:val="0012072B"/>
    <w:rsid w:val="0012612A"/>
    <w:rsid w:val="00126224"/>
    <w:rsid w:val="0013311C"/>
    <w:rsid w:val="00133F00"/>
    <w:rsid w:val="0013559F"/>
    <w:rsid w:val="0015357E"/>
    <w:rsid w:val="00161173"/>
    <w:rsid w:val="00163FF9"/>
    <w:rsid w:val="001670A8"/>
    <w:rsid w:val="00183D24"/>
    <w:rsid w:val="00185C02"/>
    <w:rsid w:val="00187E72"/>
    <w:rsid w:val="00196432"/>
    <w:rsid w:val="001A2E24"/>
    <w:rsid w:val="001A64F2"/>
    <w:rsid w:val="001B7FB6"/>
    <w:rsid w:val="001C1AE1"/>
    <w:rsid w:val="001C7927"/>
    <w:rsid w:val="001D011F"/>
    <w:rsid w:val="001E6F38"/>
    <w:rsid w:val="0020404A"/>
    <w:rsid w:val="002042D7"/>
    <w:rsid w:val="00206088"/>
    <w:rsid w:val="0022770B"/>
    <w:rsid w:val="00263F36"/>
    <w:rsid w:val="002646B1"/>
    <w:rsid w:val="00273485"/>
    <w:rsid w:val="00273FFB"/>
    <w:rsid w:val="00280E93"/>
    <w:rsid w:val="00284032"/>
    <w:rsid w:val="00284BBB"/>
    <w:rsid w:val="00287F2B"/>
    <w:rsid w:val="002A22EB"/>
    <w:rsid w:val="002A4FBD"/>
    <w:rsid w:val="002B3472"/>
    <w:rsid w:val="002B4EAF"/>
    <w:rsid w:val="002C2469"/>
    <w:rsid w:val="002C420C"/>
    <w:rsid w:val="002C67E9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3000D"/>
    <w:rsid w:val="00353341"/>
    <w:rsid w:val="003535C5"/>
    <w:rsid w:val="0036259D"/>
    <w:rsid w:val="00366BDB"/>
    <w:rsid w:val="0037141B"/>
    <w:rsid w:val="00372299"/>
    <w:rsid w:val="003731C9"/>
    <w:rsid w:val="003908AD"/>
    <w:rsid w:val="00393C72"/>
    <w:rsid w:val="00394C36"/>
    <w:rsid w:val="00395627"/>
    <w:rsid w:val="0039720B"/>
    <w:rsid w:val="003A1834"/>
    <w:rsid w:val="003A3AA5"/>
    <w:rsid w:val="003A470D"/>
    <w:rsid w:val="003C0557"/>
    <w:rsid w:val="003C7118"/>
    <w:rsid w:val="003E6302"/>
    <w:rsid w:val="003E700A"/>
    <w:rsid w:val="003F1DB0"/>
    <w:rsid w:val="003F3C1D"/>
    <w:rsid w:val="00403BB9"/>
    <w:rsid w:val="004175F2"/>
    <w:rsid w:val="00423AC7"/>
    <w:rsid w:val="004249BD"/>
    <w:rsid w:val="00435569"/>
    <w:rsid w:val="00441BCB"/>
    <w:rsid w:val="00451365"/>
    <w:rsid w:val="0047253E"/>
    <w:rsid w:val="00484670"/>
    <w:rsid w:val="0049382A"/>
    <w:rsid w:val="004A01E2"/>
    <w:rsid w:val="004A5CFD"/>
    <w:rsid w:val="004C1487"/>
    <w:rsid w:val="004C312B"/>
    <w:rsid w:val="004D1FF6"/>
    <w:rsid w:val="004D2117"/>
    <w:rsid w:val="004D51E0"/>
    <w:rsid w:val="004E1D57"/>
    <w:rsid w:val="004E40B0"/>
    <w:rsid w:val="004E5B4F"/>
    <w:rsid w:val="004E7FAB"/>
    <w:rsid w:val="004F08EF"/>
    <w:rsid w:val="004F4869"/>
    <w:rsid w:val="005014BF"/>
    <w:rsid w:val="0050389C"/>
    <w:rsid w:val="00503A77"/>
    <w:rsid w:val="005062BA"/>
    <w:rsid w:val="00517E27"/>
    <w:rsid w:val="00524C94"/>
    <w:rsid w:val="0053146F"/>
    <w:rsid w:val="005340A6"/>
    <w:rsid w:val="00536BD1"/>
    <w:rsid w:val="005559F3"/>
    <w:rsid w:val="00557AD1"/>
    <w:rsid w:val="00580034"/>
    <w:rsid w:val="0058009A"/>
    <w:rsid w:val="00584B75"/>
    <w:rsid w:val="0058718F"/>
    <w:rsid w:val="005A18D4"/>
    <w:rsid w:val="005A1A6D"/>
    <w:rsid w:val="005B3C2E"/>
    <w:rsid w:val="005C0C8E"/>
    <w:rsid w:val="005C2A03"/>
    <w:rsid w:val="005C2FB8"/>
    <w:rsid w:val="005C6024"/>
    <w:rsid w:val="005C6A5E"/>
    <w:rsid w:val="005C6CC6"/>
    <w:rsid w:val="005D622F"/>
    <w:rsid w:val="006012EC"/>
    <w:rsid w:val="00605B1D"/>
    <w:rsid w:val="00614E41"/>
    <w:rsid w:val="00614F2F"/>
    <w:rsid w:val="00615CED"/>
    <w:rsid w:val="00617164"/>
    <w:rsid w:val="006252E0"/>
    <w:rsid w:val="0062699C"/>
    <w:rsid w:val="00631535"/>
    <w:rsid w:val="006366D7"/>
    <w:rsid w:val="0064344D"/>
    <w:rsid w:val="00651DC3"/>
    <w:rsid w:val="00653F20"/>
    <w:rsid w:val="00665D88"/>
    <w:rsid w:val="00667448"/>
    <w:rsid w:val="00681122"/>
    <w:rsid w:val="00694334"/>
    <w:rsid w:val="006A144F"/>
    <w:rsid w:val="006C57DE"/>
    <w:rsid w:val="006D64D6"/>
    <w:rsid w:val="006F4CD0"/>
    <w:rsid w:val="00710038"/>
    <w:rsid w:val="007151ED"/>
    <w:rsid w:val="00715C3F"/>
    <w:rsid w:val="007207B5"/>
    <w:rsid w:val="007215C1"/>
    <w:rsid w:val="007247C3"/>
    <w:rsid w:val="00730814"/>
    <w:rsid w:val="00733BC1"/>
    <w:rsid w:val="00735D61"/>
    <w:rsid w:val="007372CE"/>
    <w:rsid w:val="0074350E"/>
    <w:rsid w:val="00746D9A"/>
    <w:rsid w:val="00747D7E"/>
    <w:rsid w:val="007509C8"/>
    <w:rsid w:val="007550E0"/>
    <w:rsid w:val="0076512E"/>
    <w:rsid w:val="00776266"/>
    <w:rsid w:val="00782AA3"/>
    <w:rsid w:val="00790BC2"/>
    <w:rsid w:val="007B0055"/>
    <w:rsid w:val="007B03F4"/>
    <w:rsid w:val="007C216A"/>
    <w:rsid w:val="007C5BFF"/>
    <w:rsid w:val="007C5DA8"/>
    <w:rsid w:val="007D1979"/>
    <w:rsid w:val="007D2AF5"/>
    <w:rsid w:val="007F176C"/>
    <w:rsid w:val="007F64C8"/>
    <w:rsid w:val="00800F41"/>
    <w:rsid w:val="008134F5"/>
    <w:rsid w:val="008217B4"/>
    <w:rsid w:val="00823307"/>
    <w:rsid w:val="008342FA"/>
    <w:rsid w:val="008423AC"/>
    <w:rsid w:val="00842CF5"/>
    <w:rsid w:val="00861DAF"/>
    <w:rsid w:val="00871E56"/>
    <w:rsid w:val="00880B6E"/>
    <w:rsid w:val="0088446D"/>
    <w:rsid w:val="00890947"/>
    <w:rsid w:val="008A0875"/>
    <w:rsid w:val="008B10DA"/>
    <w:rsid w:val="008B45C5"/>
    <w:rsid w:val="008C07C3"/>
    <w:rsid w:val="008C1B4F"/>
    <w:rsid w:val="008D0486"/>
    <w:rsid w:val="008D1975"/>
    <w:rsid w:val="008D3C56"/>
    <w:rsid w:val="008D7522"/>
    <w:rsid w:val="008E45E0"/>
    <w:rsid w:val="008F267A"/>
    <w:rsid w:val="0091415C"/>
    <w:rsid w:val="009143C2"/>
    <w:rsid w:val="009306CE"/>
    <w:rsid w:val="00930AAC"/>
    <w:rsid w:val="009322A1"/>
    <w:rsid w:val="00941006"/>
    <w:rsid w:val="00957B86"/>
    <w:rsid w:val="009718DD"/>
    <w:rsid w:val="00975FFA"/>
    <w:rsid w:val="009856FE"/>
    <w:rsid w:val="009953BA"/>
    <w:rsid w:val="009A1605"/>
    <w:rsid w:val="009A5B65"/>
    <w:rsid w:val="009A6AE0"/>
    <w:rsid w:val="009B708B"/>
    <w:rsid w:val="009C6FF4"/>
    <w:rsid w:val="009D2787"/>
    <w:rsid w:val="009D3923"/>
    <w:rsid w:val="009D6B49"/>
    <w:rsid w:val="009D6C05"/>
    <w:rsid w:val="009E255A"/>
    <w:rsid w:val="009F49E3"/>
    <w:rsid w:val="00A026B1"/>
    <w:rsid w:val="00A050E5"/>
    <w:rsid w:val="00A05848"/>
    <w:rsid w:val="00A13008"/>
    <w:rsid w:val="00A25EC1"/>
    <w:rsid w:val="00A339E3"/>
    <w:rsid w:val="00A37C1F"/>
    <w:rsid w:val="00A37D50"/>
    <w:rsid w:val="00A42130"/>
    <w:rsid w:val="00A43637"/>
    <w:rsid w:val="00A64DB1"/>
    <w:rsid w:val="00A653EC"/>
    <w:rsid w:val="00A82623"/>
    <w:rsid w:val="00A85CF7"/>
    <w:rsid w:val="00AA1494"/>
    <w:rsid w:val="00AA20F7"/>
    <w:rsid w:val="00AB6D14"/>
    <w:rsid w:val="00AC1FC3"/>
    <w:rsid w:val="00AC5B18"/>
    <w:rsid w:val="00AD0392"/>
    <w:rsid w:val="00AD50BC"/>
    <w:rsid w:val="00AF3A5A"/>
    <w:rsid w:val="00AF57C2"/>
    <w:rsid w:val="00B03B4C"/>
    <w:rsid w:val="00B05124"/>
    <w:rsid w:val="00B10F4F"/>
    <w:rsid w:val="00B27D53"/>
    <w:rsid w:val="00B3134C"/>
    <w:rsid w:val="00B34ED1"/>
    <w:rsid w:val="00B3662C"/>
    <w:rsid w:val="00B37BB5"/>
    <w:rsid w:val="00B46757"/>
    <w:rsid w:val="00B47BC6"/>
    <w:rsid w:val="00B50A0F"/>
    <w:rsid w:val="00B67E9B"/>
    <w:rsid w:val="00B746B3"/>
    <w:rsid w:val="00B845AF"/>
    <w:rsid w:val="00BB0F42"/>
    <w:rsid w:val="00BC678E"/>
    <w:rsid w:val="00BD0138"/>
    <w:rsid w:val="00BD46FD"/>
    <w:rsid w:val="00BD670A"/>
    <w:rsid w:val="00BE118E"/>
    <w:rsid w:val="00BE3342"/>
    <w:rsid w:val="00BE63C9"/>
    <w:rsid w:val="00C06BD0"/>
    <w:rsid w:val="00C07672"/>
    <w:rsid w:val="00C218A5"/>
    <w:rsid w:val="00C25551"/>
    <w:rsid w:val="00C53092"/>
    <w:rsid w:val="00C663C8"/>
    <w:rsid w:val="00C72054"/>
    <w:rsid w:val="00C74515"/>
    <w:rsid w:val="00C770AC"/>
    <w:rsid w:val="00C773D5"/>
    <w:rsid w:val="00C77744"/>
    <w:rsid w:val="00C82010"/>
    <w:rsid w:val="00C8239D"/>
    <w:rsid w:val="00C960BF"/>
    <w:rsid w:val="00CA072A"/>
    <w:rsid w:val="00CB4944"/>
    <w:rsid w:val="00CE716A"/>
    <w:rsid w:val="00CF3A0C"/>
    <w:rsid w:val="00CF6A06"/>
    <w:rsid w:val="00D037B9"/>
    <w:rsid w:val="00D22163"/>
    <w:rsid w:val="00D359F1"/>
    <w:rsid w:val="00D35C65"/>
    <w:rsid w:val="00D404F9"/>
    <w:rsid w:val="00D7392C"/>
    <w:rsid w:val="00D8226F"/>
    <w:rsid w:val="00D84967"/>
    <w:rsid w:val="00DA2972"/>
    <w:rsid w:val="00DA3AF6"/>
    <w:rsid w:val="00DA4A26"/>
    <w:rsid w:val="00DC6CBD"/>
    <w:rsid w:val="00DD4535"/>
    <w:rsid w:val="00DD59F5"/>
    <w:rsid w:val="00DE0A9E"/>
    <w:rsid w:val="00DE2FE4"/>
    <w:rsid w:val="00DE3C4F"/>
    <w:rsid w:val="00DE7B82"/>
    <w:rsid w:val="00DF2559"/>
    <w:rsid w:val="00DF2BB7"/>
    <w:rsid w:val="00E016CC"/>
    <w:rsid w:val="00E055CC"/>
    <w:rsid w:val="00E1226C"/>
    <w:rsid w:val="00E12639"/>
    <w:rsid w:val="00E126D5"/>
    <w:rsid w:val="00E2671B"/>
    <w:rsid w:val="00E26BF7"/>
    <w:rsid w:val="00E3073D"/>
    <w:rsid w:val="00E421E1"/>
    <w:rsid w:val="00E421F6"/>
    <w:rsid w:val="00E42438"/>
    <w:rsid w:val="00E42E77"/>
    <w:rsid w:val="00E56539"/>
    <w:rsid w:val="00E80895"/>
    <w:rsid w:val="00E81CCF"/>
    <w:rsid w:val="00E94691"/>
    <w:rsid w:val="00E9590F"/>
    <w:rsid w:val="00EA405B"/>
    <w:rsid w:val="00EA6363"/>
    <w:rsid w:val="00EC03BD"/>
    <w:rsid w:val="00EC4CD3"/>
    <w:rsid w:val="00EC77F1"/>
    <w:rsid w:val="00ED7E28"/>
    <w:rsid w:val="00EE0CC8"/>
    <w:rsid w:val="00EE49CC"/>
    <w:rsid w:val="00EF03B7"/>
    <w:rsid w:val="00EF2965"/>
    <w:rsid w:val="00EF6347"/>
    <w:rsid w:val="00F0328D"/>
    <w:rsid w:val="00F058B4"/>
    <w:rsid w:val="00F101E7"/>
    <w:rsid w:val="00F217BE"/>
    <w:rsid w:val="00F23F0E"/>
    <w:rsid w:val="00F24175"/>
    <w:rsid w:val="00F31B66"/>
    <w:rsid w:val="00F35237"/>
    <w:rsid w:val="00F57A38"/>
    <w:rsid w:val="00F65969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3469"/>
    <w:rsid w:val="00FE4544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CF002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table" w:customStyle="1" w:styleId="10">
    <w:name w:val="Сетка таблицы1"/>
    <w:basedOn w:val="a1"/>
    <w:next w:val="a3"/>
    <w:uiPriority w:val="59"/>
    <w:rsid w:val="0044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1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1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17</cp:revision>
  <cp:lastPrinted>2019-09-04T00:29:00Z</cp:lastPrinted>
  <dcterms:created xsi:type="dcterms:W3CDTF">2024-01-19T01:11:00Z</dcterms:created>
  <dcterms:modified xsi:type="dcterms:W3CDTF">2025-01-28T00:56:00Z</dcterms:modified>
</cp:coreProperties>
</file>